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076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ООО «СЕВЕРИНВЕСТПРОЕКТ» </w:t>
      </w: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 (регистрации):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 13 декабря 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Межрайонной и</w:t>
      </w:r>
      <w:r>
        <w:rPr>
          <w:rFonts w:ascii="Times New Roman" w:eastAsia="Times New Roman" w:hAnsi="Times New Roman" w:cs="Times New Roman"/>
          <w:sz w:val="28"/>
          <w:szCs w:val="28"/>
        </w:rPr>
        <w:t>нспекции Федеральной налоговой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вонарушениях,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ООО «СЕВЕРИНВЕСТПРОЕКТ»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Таежная, д. 13, пом. 32,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1 ст. 333.15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выразившееся в несвоевременном представлении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по водному налогу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первый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не позднее 24.00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25.04.2023 </w:t>
      </w:r>
      <w:r>
        <w:rPr>
          <w:rFonts w:ascii="Times New Roman" w:eastAsia="Times New Roman" w:hAnsi="Times New Roman" w:cs="Times New Roman"/>
          <w:sz w:val="28"/>
          <w:szCs w:val="28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24.1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пра-вонарушениях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правонару-шениях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установленных Кодексом задач должно быть обеспечено на всех стадиях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администра-тивных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при разбирательстве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пра-вонарушении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выяснению подлежат обстоятельства, имеющие значение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-вильного разрешения дела, в том числе - наличие события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лицо, его совершившее, наличие его вины и иные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обстоятель-ства</w:t>
      </w:r>
      <w:r>
        <w:rPr>
          <w:rFonts w:ascii="Times New Roman" w:eastAsia="Times New Roman" w:hAnsi="Times New Roman" w:cs="Times New Roman"/>
          <w:sz w:val="28"/>
          <w:szCs w:val="28"/>
        </w:rPr>
        <w:t>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вопроса о лице, совершившем противоправное деяние, имеет </w:t>
      </w:r>
      <w:r>
        <w:rPr>
          <w:rFonts w:ascii="Times New Roman" w:eastAsia="Times New Roman" w:hAnsi="Times New Roman" w:cs="Times New Roman"/>
          <w:sz w:val="28"/>
          <w:szCs w:val="28"/>
        </w:rPr>
        <w:t>ос-</w:t>
      </w:r>
      <w:r>
        <w:rPr>
          <w:rFonts w:ascii="Times New Roman" w:eastAsia="Times New Roman" w:hAnsi="Times New Roman" w:cs="Times New Roman"/>
          <w:sz w:val="28"/>
          <w:szCs w:val="28"/>
        </w:rPr>
        <w:t>новополагающее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 для всестороннего, полного и объективного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рассмотре-ния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и своевременного привлечения виновного к административной ответ-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установление виновности предполагает доказывание не только вины лица, но и его непосредственной причастности к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противоправ-ного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2.4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</w:t>
      </w:r>
      <w:r>
        <w:rPr>
          <w:rFonts w:ascii="Times New Roman" w:eastAsia="Times New Roman" w:hAnsi="Times New Roman" w:cs="Times New Roman"/>
          <w:sz w:val="28"/>
          <w:szCs w:val="28"/>
        </w:rPr>
        <w:t>-рушениях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t>обя-занностей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законода-тельством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расче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-та по страховым взносам) в налоговый орган по месту учета - влечет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предупре-ждение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данного нарушения административным органом представлены следующие документы: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86172333400027500002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13.12.2023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«СЕВЕРИНВЕСТПРОЕКТ»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квитанцией о приеме в электронном виде налоговой декларации;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статьей 333.8 Налогового кодекса Российской Федерации налогоплательщиками водного налога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 Объекты налогообложения перечислены в статье 333.9 Налогового кодекса Российской Федерации.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уплата водного налога и, соответственно, представление налоговой декларации по водному налогу зависит от наличия объекта налогообложения.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ых суду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условием представления декларации является наличие лицензии.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Лицензия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пользование недрами получена ООО «СЕВЕРИНВЕСТПРОЕКТ» 17.05.2023 г., в связи с чем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отсутствовала обязанность по представлению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 по данному налогу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первый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прихожу к выводу об отсутствии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«СЕВЕРИНВЕСТПРОЕКТ» </w:t>
      </w: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24.5, 29.9-29.11 КоАП РФ,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«СЕВЕРИНВЕСТПРОЕКТ» </w:t>
      </w:r>
      <w:r>
        <w:rPr>
          <w:rFonts w:ascii="Times New Roman" w:eastAsia="Times New Roman" w:hAnsi="Times New Roman" w:cs="Times New Roman"/>
          <w:sz w:val="28"/>
          <w:szCs w:val="28"/>
        </w:rPr>
        <w:t>Ясковец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